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4" w:rsidRDefault="007B3541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4C10A4" w:rsidRDefault="007B3541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4C10A4" w:rsidRDefault="007B354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C10A4" w:rsidRDefault="007B3541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4C10A4" w:rsidRDefault="007B35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6324" w:type="dxa"/>
        <w:jc w:val="center"/>
        <w:tblCellMar>
          <w:left w:w="28" w:type="dxa"/>
          <w:right w:w="28" w:type="dxa"/>
        </w:tblCellMar>
        <w:tblLook w:val="04A0"/>
      </w:tblPr>
      <w:tblGrid>
        <w:gridCol w:w="2608"/>
        <w:gridCol w:w="3174"/>
        <w:gridCol w:w="542"/>
      </w:tblGrid>
      <w:tr w:rsidR="004C10A4">
        <w:trPr>
          <w:jc w:val="center"/>
        </w:trPr>
        <w:tc>
          <w:tcPr>
            <w:tcW w:w="2608" w:type="dxa"/>
            <w:shd w:val="clear" w:color="auto" w:fill="auto"/>
            <w:vAlign w:val="bottom"/>
          </w:tcPr>
          <w:p w:rsidR="004C10A4" w:rsidRDefault="007B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(вид цены (тарифа) на</w:t>
            </w:r>
          </w:p>
        </w:tc>
        <w:tc>
          <w:tcPr>
            <w:tcW w:w="317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C10A4" w:rsidRDefault="007B3541" w:rsidP="00A927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2751">
              <w:rPr>
                <w:sz w:val="26"/>
                <w:szCs w:val="26"/>
              </w:rPr>
              <w:t>8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4C10A4" w:rsidRDefault="007B3541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4C10A4">
        <w:trPr>
          <w:jc w:val="center"/>
        </w:trPr>
        <w:tc>
          <w:tcPr>
            <w:tcW w:w="2608" w:type="dxa"/>
            <w:shd w:val="clear" w:color="auto" w:fill="auto"/>
          </w:tcPr>
          <w:p w:rsidR="004C10A4" w:rsidRDefault="004C10A4">
            <w:pPr>
              <w:jc w:val="center"/>
            </w:pPr>
          </w:p>
        </w:tc>
        <w:tc>
          <w:tcPr>
            <w:tcW w:w="3174" w:type="dxa"/>
            <w:shd w:val="clear" w:color="auto" w:fill="auto"/>
          </w:tcPr>
          <w:p w:rsidR="004C10A4" w:rsidRDefault="007B3541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2" w:type="dxa"/>
            <w:shd w:val="clear" w:color="auto" w:fill="auto"/>
          </w:tcPr>
          <w:p w:rsidR="004C10A4" w:rsidRDefault="004C10A4">
            <w:pPr>
              <w:jc w:val="center"/>
            </w:pPr>
          </w:p>
        </w:tc>
      </w:tr>
    </w:tbl>
    <w:p w:rsidR="004C10A4" w:rsidRDefault="004C10A4">
      <w:pPr>
        <w:spacing w:before="120"/>
        <w:jc w:val="center"/>
        <w:rPr>
          <w:b/>
          <w:sz w:val="24"/>
          <w:szCs w:val="24"/>
        </w:rPr>
      </w:pPr>
    </w:p>
    <w:p w:rsidR="004C10A4" w:rsidRDefault="007B354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(ООО) «ЭнергоСеть»</w:t>
      </w:r>
    </w:p>
    <w:p w:rsidR="004C10A4" w:rsidRDefault="007B3541">
      <w:pPr>
        <w:pBdr>
          <w:top w:val="single" w:sz="4" w:space="1" w:color="00000A"/>
        </w:pBdr>
        <w:jc w:val="center"/>
      </w:pPr>
      <w:r>
        <w:t>(полное и сокращенное наименование юридического лица)</w:t>
      </w: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pBdr>
          <w:top w:val="single" w:sz="4" w:space="1" w:color="00000A"/>
        </w:pBdr>
        <w:rPr>
          <w:sz w:val="2"/>
          <w:szCs w:val="2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br w:type="page"/>
      </w:r>
    </w:p>
    <w:p w:rsidR="004C10A4" w:rsidRDefault="007B3541">
      <w:pPr>
        <w:jc w:val="right"/>
      </w:pPr>
      <w:r>
        <w:lastRenderedPageBreak/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4C10A4" w:rsidRDefault="004C10A4">
      <w:pPr>
        <w:spacing w:after="720"/>
        <w:jc w:val="center"/>
        <w:rPr>
          <w:sz w:val="26"/>
          <w:szCs w:val="26"/>
        </w:rPr>
      </w:pPr>
    </w:p>
    <w:p w:rsidR="004C10A4" w:rsidRDefault="007B3541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Полное наименование:  </w:t>
      </w:r>
      <w:r>
        <w:rPr>
          <w:b/>
          <w:sz w:val="24"/>
          <w:szCs w:val="24"/>
        </w:rPr>
        <w:t>Общество с ограниченной ответственностью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наименование:  </w:t>
      </w:r>
      <w:r>
        <w:rPr>
          <w:b/>
          <w:sz w:val="24"/>
          <w:szCs w:val="24"/>
        </w:rPr>
        <w:t>ООО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</w:t>
      </w:r>
      <w:r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>Фактический адрес:</w:t>
      </w:r>
      <w:r w:rsidR="006D79B7" w:rsidRPr="006D79B7">
        <w:rPr>
          <w:b/>
          <w:sz w:val="24"/>
          <w:szCs w:val="24"/>
        </w:rPr>
        <w:t xml:space="preserve"> </w:t>
      </w:r>
      <w:r w:rsidR="006D79B7"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b/>
          <w:bCs/>
          <w:sz w:val="26"/>
          <w:szCs w:val="26"/>
        </w:rPr>
        <w:t>3906126174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КПП </w:t>
      </w:r>
      <w:r>
        <w:rPr>
          <w:b/>
          <w:bCs/>
          <w:sz w:val="26"/>
          <w:szCs w:val="26"/>
        </w:rPr>
        <w:t>390601001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Ф.И.О. руководителя: </w:t>
      </w:r>
      <w:r>
        <w:rPr>
          <w:b/>
          <w:sz w:val="24"/>
          <w:szCs w:val="24"/>
        </w:rPr>
        <w:t>Плешков Алексей Юрьевич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esm@inbox.ru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Факс: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  <w:sectPr w:rsidR="004C10A4">
          <w:headerReference w:type="default" r:id="rId7"/>
          <w:pgSz w:w="11906" w:h="16838"/>
          <w:pgMar w:top="851" w:right="850" w:bottom="567" w:left="1418" w:header="397" w:footer="0" w:gutter="0"/>
          <w:cols w:space="720"/>
          <w:formProt w:val="0"/>
          <w:docGrid w:linePitch="272" w:charSpace="2047"/>
        </w:sectPr>
      </w:pP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bookmarkStart w:id="0" w:name="RANGE!A1:F47"/>
      <w:bookmarkEnd w:id="0"/>
      <w:r>
        <w:rPr>
          <w:rFonts w:eastAsia="Times New Roman"/>
          <w:b/>
          <w:sz w:val="24"/>
          <w:szCs w:val="24"/>
        </w:rPr>
        <w:lastRenderedPageBreak/>
        <w:t>Приложение № 2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191" w:type="dxa"/>
        <w:tblInd w:w="109" w:type="dxa"/>
        <w:tblLook w:val="04A0"/>
      </w:tblPr>
      <w:tblGrid>
        <w:gridCol w:w="14191"/>
      </w:tblGrid>
      <w:tr w:rsidR="004C10A4">
        <w:trPr>
          <w:trHeight w:val="630"/>
        </w:trPr>
        <w:tc>
          <w:tcPr>
            <w:tcW w:w="14191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2. Основные показатели деятельности организаций, относящихся к субъектам естественных монополий,</w:t>
            </w:r>
            <w:r>
              <w:rPr>
                <w:rFonts w:eastAsia="Times New Roman"/>
                <w:sz w:val="26"/>
                <w:szCs w:val="26"/>
              </w:rPr>
              <w:br/>
              <w:t>а также коммерческого оператора оптового рынка электрической энергии (мощности)</w:t>
            </w:r>
          </w:p>
        </w:tc>
      </w:tr>
    </w:tbl>
    <w:p w:rsidR="004C10A4" w:rsidRDefault="007B3541">
      <w:pPr>
        <w:tabs>
          <w:tab w:val="left" w:pos="1998"/>
          <w:tab w:val="left" w:pos="5793"/>
          <w:tab w:val="left" w:pos="7093"/>
          <w:tab w:val="left" w:pos="9993"/>
          <w:tab w:val="left" w:pos="12893"/>
        </w:tabs>
        <w:ind w:left="1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191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54"/>
        <w:gridCol w:w="3794"/>
        <w:gridCol w:w="1300"/>
        <w:gridCol w:w="2901"/>
        <w:gridCol w:w="2899"/>
        <w:gridCol w:w="2543"/>
      </w:tblGrid>
      <w:tr w:rsidR="004C10A4">
        <w:trPr>
          <w:trHeight w:val="126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" w:name="RANGE!A7:F43"/>
            <w:r>
              <w:rPr>
                <w:rFonts w:eastAsia="Times New Roman"/>
                <w:sz w:val="24"/>
                <w:szCs w:val="24"/>
              </w:rPr>
              <w:t xml:space="preserve">№ </w:t>
            </w:r>
            <w:bookmarkEnd w:id="1"/>
            <w:r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 w:rsidP="004B087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 показатели (</w:t>
            </w:r>
            <w:r w:rsidR="004B087C">
              <w:rPr>
                <w:rFonts w:eastAsia="Times New Roman"/>
                <w:sz w:val="24"/>
                <w:szCs w:val="24"/>
              </w:rPr>
              <w:t>2016) за</w:t>
            </w:r>
            <w:r>
              <w:rPr>
                <w:rFonts w:eastAsia="Times New Roman"/>
                <w:sz w:val="24"/>
                <w:szCs w:val="24"/>
              </w:rPr>
              <w:t xml:space="preserve"> год, предшествующий базовому периоду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 w:rsidP="004B087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Показатели, утвержденные </w:t>
            </w:r>
            <w:r>
              <w:rPr>
                <w:rFonts w:eastAsia="Times New Roman"/>
                <w:sz w:val="24"/>
                <w:szCs w:val="24"/>
              </w:rPr>
              <w:br/>
              <w:t>на базовый период (201</w:t>
            </w:r>
            <w:r w:rsidR="004B087C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 w:rsidP="004B087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Предложения </w:t>
            </w:r>
            <w:r>
              <w:rPr>
                <w:rFonts w:eastAsia="Times New Roman"/>
                <w:sz w:val="24"/>
                <w:szCs w:val="24"/>
              </w:rPr>
              <w:br/>
              <w:t>на расчетный период регулирования (201</w:t>
            </w:r>
            <w:r w:rsidR="004B087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4C10A4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эффективности деятельности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</w:tr>
      <w:tr w:rsidR="004C10A4" w:rsidTr="004B087C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 w:rsidP="004B087C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4B087C">
              <w:rPr>
                <w:rFonts w:eastAsia="Times New Roman"/>
                <w:sz w:val="24"/>
                <w:szCs w:val="24"/>
              </w:rPr>
              <w:t xml:space="preserve"> 767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4B087C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B087C" w:rsidP="004B087C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35 007,61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EF1B6C" w:rsidP="00FD500B">
            <w:pPr>
              <w:jc w:val="center"/>
            </w:pPr>
            <w:bookmarkStart w:id="2" w:name="__DdeLink__8507_571358956"/>
            <w:bookmarkEnd w:id="2"/>
            <w:r>
              <w:rPr>
                <w:rFonts w:eastAsia="Times New Roman"/>
                <w:sz w:val="24"/>
                <w:szCs w:val="24"/>
              </w:rPr>
              <w:t>3</w:t>
            </w:r>
            <w:r w:rsidR="00FD500B">
              <w:rPr>
                <w:rFonts w:eastAsia="Times New Roman"/>
                <w:sz w:val="24"/>
                <w:szCs w:val="24"/>
              </w:rPr>
              <w:t>4</w:t>
            </w:r>
            <w:r w:rsidR="00EB4A75">
              <w:rPr>
                <w:rFonts w:eastAsia="Times New Roman"/>
                <w:sz w:val="24"/>
                <w:szCs w:val="24"/>
              </w:rPr>
              <w:t> </w:t>
            </w:r>
            <w:r w:rsidR="00FD500B">
              <w:rPr>
                <w:rFonts w:eastAsia="Times New Roman"/>
                <w:sz w:val="24"/>
                <w:szCs w:val="24"/>
              </w:rPr>
              <w:t>548</w:t>
            </w:r>
            <w:r w:rsidR="00EB4A75">
              <w:rPr>
                <w:rFonts w:eastAsia="Times New Roman"/>
                <w:sz w:val="24"/>
                <w:szCs w:val="24"/>
              </w:rPr>
              <w:t>,</w:t>
            </w:r>
            <w:r w:rsidR="00FD500B">
              <w:rPr>
                <w:rFonts w:eastAsia="Times New Roman"/>
                <w:sz w:val="24"/>
                <w:szCs w:val="24"/>
              </w:rPr>
              <w:t>04</w:t>
            </w:r>
          </w:p>
        </w:tc>
      </w:tr>
      <w:tr w:rsidR="004C10A4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EBITDA (прибыль до процентов, налогов и амортизации)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рентабельности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Показатели регулируемых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видов деятельности организации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управления технологическими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режимами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МВт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обеспечения надежности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МВт·ч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Заявленная мощность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16,22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15,82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16,10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>3.4.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 xml:space="preserve">Объем полезного отпуска электроэнергии - всего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br/>
              <w:t>тыс. кВт·ч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10,56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10,81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8,91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кВт·ч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Норматив потерь электрической энергии (с указанием реквизитов приказа Минэнерго России, которым утверждены нормативы)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 w:rsidP="00EF1B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4,</w:t>
            </w:r>
            <w:r w:rsidR="00EF1B6C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программы энергоэффективности (кем утверждена, дата утверждения, номер приказа)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1152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Суммарный объем производства и потребления электрической энергии участниками оптового рынка электрической энергии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МВт·ч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 w:rsidTr="00C26B0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F1B6C" w:rsidP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27 767,75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C26B06" w:rsidP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35 007,61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FD500B" w:rsidP="00FD500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34 548,04</w:t>
            </w:r>
            <w:r w:rsidR="00EB4A7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10A4" w:rsidRPr="00504085" w:rsidTr="00C26B0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Расходы, связанные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с производством</w:t>
            </w:r>
            <w:r w:rsidRPr="00504085">
              <w:rPr>
                <w:rFonts w:eastAsia="Times New Roman"/>
                <w:sz w:val="24"/>
                <w:szCs w:val="24"/>
              </w:rPr>
              <w:br/>
              <w:t xml:space="preserve">и реализацией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C26B06" w:rsidP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19 718,40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C26B06" w:rsidP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22 719,48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6B06" w:rsidRPr="00504085" w:rsidRDefault="00FD500B" w:rsidP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19 004,73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3 571,49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4 115,06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FD500B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4 245,03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ремонт основных фондов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15 989,33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C26B0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18 422,86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FD500B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19 004,73</w:t>
            </w:r>
          </w:p>
        </w:tc>
      </w:tr>
      <w:tr w:rsidR="004C10A4" w:rsidRPr="00504085" w:rsidTr="00876B2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Расходы, за исключением указанных в подпункте 4.1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неподконтрольные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876B26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8 049,35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876B26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12 288,13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FD500B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11 110,99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Выпадающие,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излишние доходы (расходы) прошлых лет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Инвестиции, осуществляемые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за счет тарифных источников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Объем условных единиц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у.е.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703,66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876B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808,36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876B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912,02</w:t>
            </w:r>
          </w:p>
        </w:tc>
      </w:tr>
      <w:tr w:rsidR="004C10A4" w:rsidRPr="00504085" w:rsidTr="00876B26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Операционные расходы на условную единицу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 (у.е.)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B4A75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39,46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B4A75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43,31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B4A75" w:rsidP="00876B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41,01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</w:pPr>
            <w:r w:rsidRPr="0050408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</w:pPr>
            <w:r w:rsidRPr="0050408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</w:pPr>
            <w:r w:rsidRPr="00504085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4C10A4" w:rsidRPr="00504085" w:rsidTr="00EB4A7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тыс. рублей на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EB4A75" w:rsidP="00FD500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37</w:t>
            </w:r>
            <w:r w:rsidR="00FD500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="00FD500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FD500B" w:rsidP="00FD500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42,86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FD500B" w:rsidP="00FD500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44,22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Справочно: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10A4" w:rsidRPr="00504085" w:rsidTr="00EB4A7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7B3541" w:rsidP="00EB4A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250000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7B3541" w:rsidP="00EB4A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250000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Pr="00504085" w:rsidRDefault="007B3541" w:rsidP="00EB4A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250000</w:t>
            </w:r>
          </w:p>
        </w:tc>
      </w:tr>
      <w:tr w:rsidR="004C10A4" w:rsidRPr="00504085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Анализ финансовой устойчивости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>по величине излишка (недостатка) собственных оборотных средств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тыс.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7B3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10A4" w:rsidRPr="00504085">
        <w:trPr>
          <w:trHeight w:val="390"/>
        </w:trPr>
        <w:tc>
          <w:tcPr>
            <w:tcW w:w="8750" w:type="dxa"/>
            <w:gridSpan w:val="4"/>
            <w:shd w:val="clear" w:color="auto" w:fill="auto"/>
            <w:vAlign w:val="bottom"/>
          </w:tcPr>
          <w:p w:rsidR="004C10A4" w:rsidRPr="00504085" w:rsidRDefault="007B3541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lastRenderedPageBreak/>
              <w:t>_____</w:t>
            </w:r>
            <w:r w:rsidRPr="00504085">
              <w:rPr>
                <w:rFonts w:eastAsia="Times New Roman"/>
                <w:vertAlign w:val="superscript"/>
              </w:rPr>
              <w:t>1</w:t>
            </w:r>
            <w:r w:rsidRPr="00504085">
              <w:rPr>
                <w:rFonts w:eastAsia="Times New Roman"/>
              </w:rPr>
              <w:t>_Базовый период - год, предшествующий расчетному периоду регулирования.</w:t>
            </w:r>
          </w:p>
        </w:tc>
        <w:tc>
          <w:tcPr>
            <w:tcW w:w="2899" w:type="dxa"/>
            <w:shd w:val="clear" w:color="auto" w:fill="auto"/>
            <w:vAlign w:val="bottom"/>
          </w:tcPr>
          <w:p w:rsidR="004C10A4" w:rsidRPr="00504085" w:rsidRDefault="004C10A4">
            <w:pPr>
              <w:rPr>
                <w:rFonts w:eastAsia="Times New Roman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4C10A4" w:rsidRPr="00504085" w:rsidRDefault="004C10A4">
            <w:pPr>
              <w:rPr>
                <w:rFonts w:eastAsia="Times New Roman"/>
              </w:rPr>
            </w:pPr>
          </w:p>
        </w:tc>
      </w:tr>
      <w:tr w:rsidR="004C10A4" w:rsidRPr="00504085">
        <w:trPr>
          <w:trHeight w:val="315"/>
        </w:trPr>
        <w:tc>
          <w:tcPr>
            <w:tcW w:w="11650" w:type="dxa"/>
            <w:gridSpan w:val="5"/>
            <w:shd w:val="clear" w:color="auto" w:fill="auto"/>
            <w:vAlign w:val="bottom"/>
          </w:tcPr>
          <w:p w:rsidR="004C10A4" w:rsidRPr="00504085" w:rsidRDefault="007B3541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2</w:t>
            </w:r>
            <w:r w:rsidRPr="00504085">
              <w:rPr>
                <w:rFonts w:eastAsia="Times New Roman"/>
              </w:rPr>
              <w:t>_Заполняются организацией, осуществляющей оперативно-диспетчерское управление в электроэнергетике.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C10A4" w:rsidRPr="00504085" w:rsidRDefault="004C10A4">
            <w:pPr>
              <w:rPr>
                <w:rFonts w:eastAsia="Times New Roman"/>
              </w:rPr>
            </w:pPr>
          </w:p>
        </w:tc>
      </w:tr>
      <w:tr w:rsidR="004C10A4" w:rsidRPr="00504085">
        <w:trPr>
          <w:trHeight w:val="315"/>
        </w:trPr>
        <w:tc>
          <w:tcPr>
            <w:tcW w:w="14190" w:type="dxa"/>
            <w:gridSpan w:val="6"/>
            <w:shd w:val="clear" w:color="auto" w:fill="auto"/>
            <w:vAlign w:val="bottom"/>
          </w:tcPr>
          <w:p w:rsidR="004C10A4" w:rsidRPr="00504085" w:rsidRDefault="007B3541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3</w:t>
            </w:r>
            <w:r w:rsidRPr="00504085">
              <w:rPr>
                <w:rFonts w:eastAsia="Times New Roman"/>
              </w:rPr>
              <w:t>_Заполняются сетевыми организациями, осуществляющими передачу электрической энергии (мощности) по электрическим сетям.</w:t>
            </w:r>
          </w:p>
        </w:tc>
      </w:tr>
      <w:tr w:rsidR="004C10A4" w:rsidRPr="00504085">
        <w:trPr>
          <w:trHeight w:val="315"/>
        </w:trPr>
        <w:tc>
          <w:tcPr>
            <w:tcW w:w="11650" w:type="dxa"/>
            <w:gridSpan w:val="5"/>
            <w:shd w:val="clear" w:color="auto" w:fill="auto"/>
            <w:vAlign w:val="bottom"/>
          </w:tcPr>
          <w:p w:rsidR="004C10A4" w:rsidRPr="00504085" w:rsidRDefault="007B3541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4</w:t>
            </w:r>
            <w:r w:rsidRPr="00504085">
              <w:rPr>
                <w:rFonts w:eastAsia="Times New Roman"/>
              </w:rPr>
              <w:t>_Заполняются коммерческим оператором оптового рынка электрической энергии (мощности).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C10A4" w:rsidRPr="00504085" w:rsidRDefault="004C10A4">
            <w:pPr>
              <w:rPr>
                <w:rFonts w:eastAsia="Times New Roman"/>
              </w:rPr>
            </w:pPr>
          </w:p>
        </w:tc>
      </w:tr>
    </w:tbl>
    <w:p w:rsidR="004C10A4" w:rsidRPr="00504085" w:rsidRDefault="004C10A4">
      <w:pPr>
        <w:rPr>
          <w:sz w:val="24"/>
          <w:szCs w:val="24"/>
        </w:rPr>
      </w:pPr>
    </w:p>
    <w:p w:rsidR="004C10A4" w:rsidRPr="00504085" w:rsidRDefault="007B3541">
      <w:pPr>
        <w:rPr>
          <w:rFonts w:eastAsia="Times New Roman"/>
          <w:sz w:val="24"/>
          <w:szCs w:val="24"/>
        </w:rPr>
      </w:pPr>
      <w:r w:rsidRPr="00504085">
        <w:br w:type="page"/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№ 5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tbl>
      <w:tblPr>
        <w:tblW w:w="14440" w:type="dxa"/>
        <w:tblInd w:w="93" w:type="dxa"/>
        <w:tblLook w:val="04A0"/>
      </w:tblPr>
      <w:tblGrid>
        <w:gridCol w:w="14440"/>
      </w:tblGrid>
      <w:tr w:rsidR="004C10A4">
        <w:trPr>
          <w:trHeight w:val="330"/>
        </w:trPr>
        <w:tc>
          <w:tcPr>
            <w:tcW w:w="14440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3. Цены (тарифы) по регулируемым видам деятельности организации ООО «ЭнергоСеть»</w:t>
            </w:r>
          </w:p>
        </w:tc>
      </w:tr>
    </w:tbl>
    <w:p w:rsidR="004C10A4" w:rsidRDefault="004C10A4">
      <w:pPr>
        <w:rPr>
          <w:rFonts w:eastAsia="Times New Roman"/>
          <w:sz w:val="24"/>
          <w:szCs w:val="24"/>
        </w:rPr>
      </w:pPr>
    </w:p>
    <w:tbl>
      <w:tblPr>
        <w:tblW w:w="15048" w:type="dxa"/>
        <w:tblInd w:w="-318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22"/>
        <w:gridCol w:w="5129"/>
        <w:gridCol w:w="1418"/>
        <w:gridCol w:w="1264"/>
        <w:gridCol w:w="1266"/>
        <w:gridCol w:w="1264"/>
        <w:gridCol w:w="1265"/>
        <w:gridCol w:w="1350"/>
        <w:gridCol w:w="1270"/>
      </w:tblGrid>
      <w:tr w:rsidR="006C3A7F" w:rsidTr="00504085">
        <w:trPr>
          <w:trHeight w:val="1403"/>
        </w:trPr>
        <w:tc>
          <w:tcPr>
            <w:tcW w:w="82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3" w:name="RANGE!A8:F45"/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bookmarkEnd w:id="3"/>
            <w:r>
              <w:rPr>
                <w:rFonts w:eastAsia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5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Единица изменения</w:t>
            </w:r>
          </w:p>
        </w:tc>
        <w:tc>
          <w:tcPr>
            <w:tcW w:w="25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Фактические показатели за год, предшествующий базовому периоду (201</w:t>
            </w:r>
            <w:r w:rsidR="008112B9">
              <w:rPr>
                <w:rFonts w:eastAsia="Times New Roman"/>
                <w:sz w:val="22"/>
                <w:szCs w:val="22"/>
              </w:rPr>
              <w:t>6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Показатели, утвержденные на базовый период * (201</w:t>
            </w:r>
            <w:r w:rsidR="008112B9">
              <w:rPr>
                <w:rFonts w:eastAsia="Times New Roman"/>
                <w:sz w:val="22"/>
                <w:szCs w:val="22"/>
              </w:rPr>
              <w:t>7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8112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Предложения на расчетный период регулирования (201</w:t>
            </w:r>
            <w:r w:rsidR="008112B9">
              <w:rPr>
                <w:rFonts w:eastAsia="Times New Roman"/>
                <w:sz w:val="22"/>
                <w:szCs w:val="22"/>
              </w:rPr>
              <w:t>8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6C3A7F" w:rsidTr="00504085">
        <w:trPr>
          <w:trHeight w:val="600"/>
        </w:trPr>
        <w:tc>
          <w:tcPr>
            <w:tcW w:w="82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  <w:tc>
          <w:tcPr>
            <w:tcW w:w="1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1-е полу-годие</w:t>
            </w:r>
          </w:p>
        </w:tc>
        <w:tc>
          <w:tcPr>
            <w:tcW w:w="127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2-е полу-годие</w:t>
            </w: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по оперативно-диспетчерскому управлению в электроэнергетике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сетей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126004,09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158694,40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184269,38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184542,35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187352,09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192035,90</w:t>
            </w: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87,86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69,64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75,42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78,36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81,92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82,95</w:t>
            </w: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2 707,10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2 707,10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3 267,07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EB4A75" w:rsidP="005040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3 364,93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464B3B" w:rsidP="00464B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B4A75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959</w:t>
            </w:r>
            <w:r w:rsidR="00EB4A75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04085" w:rsidRPr="00504085" w:rsidRDefault="00464B3B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3 960,40</w:t>
            </w:r>
            <w:bookmarkStart w:id="4" w:name="_GoBack"/>
            <w:bookmarkEnd w:id="4"/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гарантирующих поставщиков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"население" и приравненных к нему категорий потребителей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доходность продаж для прочих потребителей: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менее 150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150 кВт до 670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670 кВт до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менее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генерирующих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электрическую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том числе топливная составляющая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кВт·ч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генерирующую мощность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одноставочный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 на горячее водоснабжение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отборный пар давлением: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1,2 - 2,5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2,5 - 7,0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7,0 - 13,0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&gt; 13 кг/см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острый и редуцированный 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тепловой мощности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руб./Гкал/ч в месяц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тариф на теплоноситель,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3A7F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C3A7F" w:rsidTr="00504085">
        <w:trPr>
          <w:trHeight w:val="345"/>
        </w:trPr>
        <w:tc>
          <w:tcPr>
            <w:tcW w:w="7369" w:type="dxa"/>
            <w:gridSpan w:val="3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_____</w:t>
            </w:r>
            <w:r>
              <w:rPr>
                <w:rFonts w:eastAsia="Times New Roman"/>
              </w:rPr>
              <w:t>*</w:t>
            </w:r>
            <w:r>
              <w:rPr>
                <w:rFonts w:eastAsia="Times New Roman"/>
                <w:color w:val="FFFFFF"/>
              </w:rPr>
              <w:t>_</w:t>
            </w:r>
            <w:r>
              <w:rPr>
                <w:rFonts w:eastAsia="Times New Roman"/>
              </w:rPr>
              <w:t>Базовый период - год, предшествующий расчетному периоду регулирования.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</w:tr>
    </w:tbl>
    <w:p w:rsidR="004C10A4" w:rsidRDefault="004C10A4"/>
    <w:sectPr w:rsidR="004C10A4" w:rsidSect="004C10A4">
      <w:headerReference w:type="default" r:id="rId8"/>
      <w:pgSz w:w="16838" w:h="11906" w:orient="landscape"/>
      <w:pgMar w:top="1418" w:right="851" w:bottom="851" w:left="1560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74" w:rsidRDefault="00D84274" w:rsidP="004C10A4">
      <w:r>
        <w:separator/>
      </w:r>
    </w:p>
  </w:endnote>
  <w:endnote w:type="continuationSeparator" w:id="1">
    <w:p w:rsidR="00D84274" w:rsidRDefault="00D84274" w:rsidP="004C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74" w:rsidRDefault="00D84274" w:rsidP="004C10A4">
      <w:r>
        <w:separator/>
      </w:r>
    </w:p>
  </w:footnote>
  <w:footnote w:type="continuationSeparator" w:id="1">
    <w:p w:rsidR="00D84274" w:rsidRDefault="00D84274" w:rsidP="004C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4" w:rsidRDefault="007B3541">
    <w:pPr>
      <w:pStyle w:val="aa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4" w:rsidRDefault="007B3541">
    <w:pPr>
      <w:pStyle w:val="aa"/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0A4"/>
    <w:rsid w:val="001152BD"/>
    <w:rsid w:val="001163F7"/>
    <w:rsid w:val="00464B3B"/>
    <w:rsid w:val="004B087C"/>
    <w:rsid w:val="004C10A4"/>
    <w:rsid w:val="00504085"/>
    <w:rsid w:val="0063271E"/>
    <w:rsid w:val="006C3A7F"/>
    <w:rsid w:val="006D79B7"/>
    <w:rsid w:val="007B3541"/>
    <w:rsid w:val="008112B9"/>
    <w:rsid w:val="00876B26"/>
    <w:rsid w:val="00A92751"/>
    <w:rsid w:val="00C26B06"/>
    <w:rsid w:val="00D84274"/>
    <w:rsid w:val="00E46B40"/>
    <w:rsid w:val="00EB4A75"/>
    <w:rsid w:val="00EF1B6C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D"/>
    <w:pPr>
      <w:suppressAutoHyphens/>
      <w:spacing w:line="240" w:lineRule="auto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B3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B3E8D"/>
    <w:rPr>
      <w:rFonts w:cs="Times New Roman"/>
      <w:sz w:val="14"/>
      <w:szCs w:val="14"/>
    </w:rPr>
  </w:style>
  <w:style w:type="character" w:customStyle="1" w:styleId="ListLabel1">
    <w:name w:val="ListLabel 1"/>
    <w:rsid w:val="004C10A4"/>
    <w:rPr>
      <w:rFonts w:cs="Times New Roman"/>
    </w:rPr>
  </w:style>
  <w:style w:type="character" w:customStyle="1" w:styleId="ListLabel2">
    <w:name w:val="ListLabel 2"/>
    <w:rsid w:val="004C10A4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rsid w:val="004C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0A4"/>
    <w:pPr>
      <w:spacing w:after="140" w:line="288" w:lineRule="auto"/>
    </w:pPr>
  </w:style>
  <w:style w:type="paragraph" w:styleId="a7">
    <w:name w:val="List"/>
    <w:basedOn w:val="a6"/>
    <w:rsid w:val="004C10A4"/>
    <w:rPr>
      <w:rFonts w:cs="Mangal"/>
    </w:rPr>
  </w:style>
  <w:style w:type="paragraph" w:styleId="a8">
    <w:name w:val="Title"/>
    <w:basedOn w:val="a"/>
    <w:rsid w:val="004C10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C10A4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uiPriority w:val="99"/>
    <w:rsid w:val="005B3E8D"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B3E8D"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B3E8D"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B3E8D"/>
    <w:pPr>
      <w:shd w:val="clear" w:color="auto" w:fill="FFFFFF"/>
      <w:spacing w:before="60" w:after="240" w:line="240" w:lineRule="atLeast"/>
      <w:outlineLvl w:val="0"/>
    </w:pPr>
    <w:rPr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5B3E8D"/>
    <w:pPr>
      <w:suppressAutoHyphens/>
      <w:spacing w:line="240" w:lineRule="auto"/>
      <w:ind w:right="19772" w:firstLine="540"/>
      <w:jc w:val="both"/>
    </w:pPr>
    <w:rPr>
      <w:rFonts w:ascii="Courier New" w:hAnsi="Courier New" w:cs="Courier New"/>
      <w:szCs w:val="20"/>
    </w:rPr>
  </w:style>
  <w:style w:type="paragraph" w:customStyle="1" w:styleId="ConsNonformat">
    <w:name w:val="ConsNonformat"/>
    <w:uiPriority w:val="99"/>
    <w:rsid w:val="005B3E8D"/>
    <w:pPr>
      <w:suppressAutoHyphens/>
      <w:spacing w:line="240" w:lineRule="auto"/>
      <w:jc w:val="both"/>
    </w:pPr>
    <w:rPr>
      <w:rFonts w:ascii="Courier New" w:hAnsi="Courier New" w:cs="Courier New"/>
      <w:szCs w:val="20"/>
    </w:rPr>
  </w:style>
  <w:style w:type="paragraph" w:customStyle="1" w:styleId="ac">
    <w:name w:val="Содержимое таблицы"/>
    <w:basedOn w:val="a"/>
    <w:rsid w:val="004C10A4"/>
  </w:style>
  <w:style w:type="paragraph" w:customStyle="1" w:styleId="ad">
    <w:name w:val="Заголовок таблицы"/>
    <w:basedOn w:val="ac"/>
    <w:rsid w:val="004C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D9D0-7D7A-453C-8B90-C1D961D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Key</cp:lastModifiedBy>
  <cp:revision>4</cp:revision>
  <cp:lastPrinted>2014-08-15T11:59:00Z</cp:lastPrinted>
  <dcterms:created xsi:type="dcterms:W3CDTF">2017-05-19T14:13:00Z</dcterms:created>
  <dcterms:modified xsi:type="dcterms:W3CDTF">2017-05-22T09:05:00Z</dcterms:modified>
  <dc:language>ru-RU</dc:language>
</cp:coreProperties>
</file>